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7B61FF"/>
          <w:sz w:val="28"/>
          <w:szCs w:val="28"/>
        </w:rPr>
        <w:t xml:space="preserve">CoOrdio Health</w:t>
      </w:r>
      <w:r>
        <w:rPr>
          <w:rFonts w:ascii="Calibri" w:cs="Calibri" w:eastAsia="Calibri" w:hAnsi="Calibri"/>
          <w:color w:val="6B7280"/>
          <w:sz w:val="20"/>
          <w:szCs w:val="20"/>
        </w:rPr>
        <w:t xml:space="preserve">  by OpenBots</w:t>
      </w:r>
    </w:p>
    <w:p>
      <w:pPr>
        <w:spacing w:after="200"/>
      </w:pPr>
      <w:r>
        <w:rPr>
          <w:rFonts w:ascii="Calibri" w:cs="Calibri" w:eastAsia="Calibri" w:hAnsi="Calibri"/>
          <w:b/>
          <w:bCs/>
          <w:color w:val="27275B"/>
          <w:spacing w:val="120"/>
          <w:sz w:val="18"/>
          <w:szCs w:val="18"/>
        </w:rPr>
        <w:t xml:space="preserve">CASE STUDY</w:t>
      </w:r>
    </w:p>
    <w:p>
      <w:pPr>
        <w:spacing w:after="60"/>
      </w:pPr>
      <w:r>
        <w:rPr>
          <w:rFonts w:ascii="Calibri" w:cs="Calibri" w:eastAsia="Calibri" w:hAnsi="Calibri"/>
          <w:b/>
          <w:bCs/>
          <w:color w:val="27275B"/>
          <w:sz w:val="36"/>
          <w:szCs w:val="36"/>
        </w:rPr>
        <w:t xml:space="preserve">How Valley Oaks Health Eliminated</w:t>
      </w:r>
    </w:p>
    <w:p>
      <w:pPr>
        <w:spacing w:after="60"/>
      </w:pPr>
      <w:r>
        <w:rPr>
          <w:rFonts w:ascii="Calibri" w:cs="Calibri" w:eastAsia="Calibri" w:hAnsi="Calibri"/>
          <w:b/>
          <w:bCs/>
          <w:color w:val="7B61FF"/>
          <w:sz w:val="36"/>
          <w:szCs w:val="36"/>
        </w:rPr>
        <w:t xml:space="preserve">60% of Eligibility Denials</w:t>
      </w:r>
    </w:p>
    <w:p>
      <w:pPr>
        <w:spacing w:after="40"/>
      </w:pPr>
      <w:r>
        <w:rPr>
          <w:rFonts w:ascii="Calibri" w:cs="Calibri" w:eastAsia="Calibri" w:hAnsi="Calibri"/>
          <w:color w:val="6B7280"/>
          <w:sz w:val="24"/>
          <w:szCs w:val="24"/>
        </w:rPr>
        <w:t xml:space="preserve">with Automated MCO Verification in SmartCare</w:t>
      </w:r>
    </w:p>
    <w:p>
      <w:pPr>
        <w:pBdr>
          <w:bottom w:val="single" w:color="7B61FF" w:sz="6"/>
        </w:pBdr>
        <w:spacing w:after="120"/>
      </w:pPr>
    </w:p>
    <w:p>
      <w:pPr>
        <w:spacing w:after="200" w:before="120"/>
      </w:pPr>
      <w:r>
        <w:rPr>
          <w:rFonts w:ascii="Calibri" w:cs="Calibri" w:eastAsia="Calibri" w:hAnsi="Calibri"/>
          <w:b/>
          <w:bCs/>
          <w:i/>
          <w:iCs/>
          <w:color w:val="1A1A2E"/>
          <w:sz w:val="22"/>
          <w:szCs w:val="22"/>
        </w:rPr>
        <w:t xml:space="preserve">Wrong payer. Right coverage. Still denied. </w:t>
      </w:r>
      <w:r>
        <w:rPr>
          <w:rFonts w:ascii="Calibri" w:cs="Calibri" w:eastAsia="Calibri" w:hAnsi="Calibri"/>
          <w:i/>
          <w:iCs/>
          <w:color w:val="6B7280"/>
          <w:sz w:val="22"/>
          <w:szCs w:val="22"/>
        </w:rPr>
        <w:t xml:space="preserve">That was the reality at Valley Oaks Health before CoOrdio.</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none" w:color="FFFFFF" w:sz="0"/>
              <w:right w:val="none" w:color="FFFFFF" w:sz="0"/>
            </w:tcBorders>
            <w:shd w:fill="27275B" w:val="clear"/>
            <w:tcMar>
              <w:top w:type="dxa" w:w="120"/>
              <w:left w:type="dxa" w:w="180"/>
              <w:bottom w:type="dxa" w:w="120"/>
              <w:right w:type="dxa" w:w="180"/>
            </w:tcMar>
          </w:tcPr>
          <w:p>
            <w:pPr>
              <w:jc w:val="center"/>
            </w:pPr>
            <w:r>
              <w:rPr>
                <w:rFonts w:ascii="Calibri" w:cs="Calibri" w:eastAsia="Calibri" w:hAnsi="Calibri"/>
                <w:b/>
                <w:bCs/>
                <w:color w:val="FFFFFF"/>
                <w:sz w:val="36"/>
                <w:szCs w:val="36"/>
              </w:rPr>
              <w:t xml:space="preserve">90%</w:t>
            </w:r>
          </w:p>
          <w:p>
            <w:pPr>
              <w:jc w:val="center"/>
            </w:pPr>
            <w:r>
              <w:rPr>
                <w:rFonts w:ascii="Calibri" w:cs="Calibri" w:eastAsia="Calibri" w:hAnsi="Calibri"/>
                <w:color w:val="C7C4F0"/>
                <w:sz w:val="16"/>
                <w:szCs w:val="16"/>
              </w:rPr>
              <w:t xml:space="preserve">Medicaid Population</w:t>
            </w:r>
          </w:p>
        </w:tc>
        <w:tc>
          <w:tcPr>
            <w:tcW w:type="dxa" w:w="3120"/>
            <w:tcBorders>
              <w:top w:val="none" w:color="FFFFFF" w:sz="0"/>
              <w:left w:val="none" w:color="FFFFFF" w:sz="0"/>
              <w:bottom w:val="none" w:color="FFFFFF" w:sz="0"/>
              <w:right w:val="none" w:color="FFFFFF" w:sz="0"/>
            </w:tcBorders>
            <w:shd w:fill="7B61FF" w:val="clear"/>
            <w:tcMar>
              <w:top w:type="dxa" w:w="120"/>
              <w:left w:type="dxa" w:w="180"/>
              <w:bottom w:type="dxa" w:w="120"/>
              <w:right w:type="dxa" w:w="180"/>
            </w:tcMar>
          </w:tcPr>
          <w:p>
            <w:pPr>
              <w:jc w:val="center"/>
            </w:pPr>
            <w:r>
              <w:rPr>
                <w:rFonts w:ascii="Calibri" w:cs="Calibri" w:eastAsia="Calibri" w:hAnsi="Calibri"/>
                <w:b/>
                <w:bCs/>
                <w:color w:val="FFFFFF"/>
                <w:sz w:val="36"/>
                <w:szCs w:val="36"/>
              </w:rPr>
              <w:t xml:space="preserve">60%</w:t>
            </w:r>
          </w:p>
          <w:p>
            <w:pPr>
              <w:jc w:val="center"/>
            </w:pPr>
            <w:r>
              <w:rPr>
                <w:rFonts w:ascii="Calibri" w:cs="Calibri" w:eastAsia="Calibri" w:hAnsi="Calibri"/>
                <w:color w:val="FFFFFF"/>
                <w:sz w:val="16"/>
                <w:szCs w:val="16"/>
              </w:rPr>
              <w:t xml:space="preserve">Denials from Eligibility</w:t>
            </w:r>
          </w:p>
        </w:tc>
        <w:tc>
          <w:tcPr>
            <w:tcW w:type="dxa" w:w="3120"/>
            <w:tcBorders>
              <w:top w:val="none" w:color="FFFFFF" w:sz="0"/>
              <w:left w:val="none" w:color="FFFFFF" w:sz="0"/>
              <w:bottom w:val="none" w:color="FFFFFF" w:sz="0"/>
              <w:right w:val="none" w:color="FFFFFF" w:sz="0"/>
            </w:tcBorders>
            <w:shd w:fill="27275B" w:val="clear"/>
            <w:tcMar>
              <w:top w:type="dxa" w:w="120"/>
              <w:left w:type="dxa" w:w="180"/>
              <w:bottom w:type="dxa" w:w="120"/>
              <w:right w:type="dxa" w:w="180"/>
            </w:tcMar>
          </w:tcPr>
          <w:p>
            <w:pPr>
              <w:jc w:val="center"/>
            </w:pPr>
            <w:r>
              <w:rPr>
                <w:rFonts w:ascii="Calibri" w:cs="Calibri" w:eastAsia="Calibri" w:hAnsi="Calibri"/>
                <w:b/>
                <w:bCs/>
                <w:color w:val="FFFFFF"/>
                <w:sz w:val="36"/>
                <w:szCs w:val="36"/>
              </w:rPr>
              <w:t xml:space="preserve">400 → 50</w:t>
            </w:r>
          </w:p>
          <w:p>
            <w:pPr>
              <w:jc w:val="center"/>
            </w:pPr>
            <w:r>
              <w:rPr>
                <w:rFonts w:ascii="Calibri" w:cs="Calibri" w:eastAsia="Calibri" w:hAnsi="Calibri"/>
                <w:color w:val="C7C4F0"/>
                <w:sz w:val="16"/>
                <w:szCs w:val="16"/>
              </w:rPr>
              <w:t xml:space="preserve">Denial Volume Drop</w:t>
            </w:r>
          </w:p>
        </w:tc>
      </w:tr>
    </w:tbl>
    <w:p>
      <w:pPr>
        <w:spacing w:after="200"/>
      </w:pPr>
    </w:p>
    <w:p>
      <w:pPr>
        <w:spacing w:after="100"/>
      </w:pPr>
      <w:r>
        <w:rPr>
          <w:rFonts w:ascii="Calibri" w:cs="Calibri" w:eastAsia="Calibri" w:hAnsi="Calibri"/>
          <w:b/>
          <w:bCs/>
          <w:color w:val="7B61FF"/>
          <w:spacing w:val="80"/>
          <w:sz w:val="22"/>
          <w:szCs w:val="22"/>
        </w:rPr>
        <w:t xml:space="preserve">THE CHALLENGE</w:t>
      </w:r>
    </w:p>
    <w:p>
      <w:pPr>
        <w:spacing w:after="100"/>
      </w:pPr>
      <w:r>
        <w:rPr>
          <w:rFonts w:ascii="Calibri" w:cs="Calibri" w:eastAsia="Calibri" w:hAnsi="Calibri"/>
          <w:color w:val="1A1A2E"/>
          <w:sz w:val="20"/>
          <w:szCs w:val="20"/>
        </w:rPr>
        <w:t xml:space="preserve">Valley Oaks Health is a community health center near Purdue University serving a ten-county region in Indiana. Recently certified as an FQHC and a CCBHC demonstration site, the organization serves a 90% Medicaid population across clinics, schools, and community settings.</w:t>
      </w:r>
    </w:p>
    <w:p>
      <w:pPr>
        <w:spacing w:after="100"/>
      </w:pPr>
      <w:r>
        <w:rPr>
          <w:rFonts w:ascii="Calibri" w:cs="Calibri" w:eastAsia="Calibri" w:hAnsi="Calibri"/>
          <w:color w:val="1A1A2E"/>
          <w:sz w:val="20"/>
          <w:szCs w:val="20"/>
        </w:rPr>
        <w:t xml:space="preserve">The problem: Indiana auto-assigns and re-assigns Medicaid MCOs on the 1st of every month without the patient knowing. A patient on MDWise one month could be on CareSource the next. Valley Oaks was giving services to kids in schools, filing claims, and finding out after the fact that the MCO on file in SmartCare was wrong.</w:t>
      </w:r>
    </w:p>
    <w:p>
      <w:pPr>
        <w:spacing w:after="100"/>
      </w:pPr>
      <w:r>
        <w:rPr>
          <w:rFonts w:ascii="Calibri" w:cs="Calibri" w:eastAsia="Calibri" w:hAnsi="Calibri"/>
          <w:b/>
          <w:bCs/>
          <w:color w:val="1A1A2E"/>
          <w:sz w:val="20"/>
          <w:szCs w:val="20"/>
        </w:rPr>
        <w:t xml:space="preserve">The impact was severe:</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60% of all denials came from eligibility issues alone</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Each manual eligibility check took 15 minutes, performed twice monthly per patient</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Staff turnover disrupted the process entirely when the person doing checks left</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Services rendered under false eligibility assumptions created bad debt, missed prior authorizations, and unrecoverable revenue</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Batch eligibility checks from their new EMR (Streamline SmartCare) weren't catching MCO changes fast enough</w:t>
      </w:r>
    </w:p>
    <w:p>
      <w:r>
        <w:br w:type="page"/>
      </w:r>
    </w:p>
    <w:p>
      <w:pPr>
        <w:spacing w:after="100"/>
      </w:pPr>
      <w:r>
        <w:rPr>
          <w:rFonts w:ascii="Calibri" w:cs="Calibri" w:eastAsia="Calibri" w:hAnsi="Calibri"/>
          <w:b/>
          <w:bCs/>
          <w:color w:val="7B61FF"/>
          <w:spacing w:val="80"/>
          <w:sz w:val="22"/>
          <w:szCs w:val="22"/>
        </w:rPr>
        <w:t xml:space="preserve">THE SOLUTION</w:t>
      </w:r>
    </w:p>
    <w:p>
      <w:pPr>
        <w:spacing w:after="100"/>
      </w:pPr>
      <w:r>
        <w:rPr>
          <w:rFonts w:ascii="Calibri" w:cs="Calibri" w:eastAsia="Calibri" w:hAnsi="Calibri"/>
          <w:color w:val="1A1A2E"/>
          <w:sz w:val="20"/>
          <w:szCs w:val="20"/>
        </w:rPr>
        <w:t xml:space="preserve">Valley Oaks implemented CoOrdio Health by OpenBots to automate Medicaid MCO verification directly inside SmartCare. The system runs eligibility on all patients in two rhythms:</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shd w:fill="F4F3FF" w:val="clear"/>
            <w:tcMar>
              <w:top w:type="dxa" w:w="140"/>
              <w:left w:type="dxa" w:w="200"/>
              <w:bottom w:type="dxa" w:w="140"/>
              <w:right w:type="dxa" w:w="200"/>
            </w:tcMar>
          </w:tcPr>
          <w:p>
            <w:pPr>
              <w:spacing w:after="60"/>
            </w:pPr>
            <w:r>
              <w:rPr>
                <w:rFonts w:ascii="Calibri" w:cs="Calibri" w:eastAsia="Calibri" w:hAnsi="Calibri"/>
                <w:b/>
                <w:bCs/>
                <w:color w:val="27275B"/>
                <w:sz w:val="20"/>
                <w:szCs w:val="20"/>
              </w:rPr>
              <w:t xml:space="preserve">Bulk Monthly Check</w:t>
            </w:r>
          </w:p>
          <w:p>
            <w:r>
              <w:rPr>
                <w:rFonts w:ascii="Calibri" w:cs="Calibri" w:eastAsia="Calibri" w:hAnsi="Calibri"/>
                <w:color w:val="1A1A2E"/>
                <w:sz w:val="18"/>
                <w:szCs w:val="18"/>
              </w:rPr>
              <w:t xml:space="preserve">Runs on the 2nd of every month when Indiana MCOs churn. Catches every re-assignment across the full patient population.</w:t>
            </w:r>
          </w:p>
        </w:tc>
        <w:tc>
          <w:tcPr>
            <w:tcW w:type="dxa" w:w="4680"/>
            <w:tcBorders>
              <w:top w:val="none" w:color="FFFFFF" w:sz="0"/>
              <w:left w:val="none" w:color="FFFFFF" w:sz="0"/>
              <w:bottom w:val="none" w:color="FFFFFF" w:sz="0"/>
              <w:right w:val="none" w:color="FFFFFF" w:sz="0"/>
            </w:tcBorders>
            <w:shd w:fill="F4F3FF" w:val="clear"/>
            <w:tcMar>
              <w:top w:type="dxa" w:w="140"/>
              <w:left w:type="dxa" w:w="200"/>
              <w:bottom w:type="dxa" w:w="140"/>
              <w:right w:type="dxa" w:w="200"/>
            </w:tcMar>
          </w:tcPr>
          <w:p>
            <w:pPr>
              <w:spacing w:after="60"/>
            </w:pPr>
            <w:r>
              <w:rPr>
                <w:rFonts w:ascii="Calibri" w:cs="Calibri" w:eastAsia="Calibri" w:hAnsi="Calibri"/>
                <w:b/>
                <w:bCs/>
                <w:color w:val="27275B"/>
                <w:sz w:val="20"/>
                <w:szCs w:val="20"/>
              </w:rPr>
              <w:t xml:space="preserve">Appointment-Based Check</w:t>
            </w:r>
          </w:p>
          <w:p>
            <w:r>
              <w:rPr>
                <w:rFonts w:ascii="Calibri" w:cs="Calibri" w:eastAsia="Calibri" w:hAnsi="Calibri"/>
                <w:color w:val="1A1A2E"/>
                <w:sz w:val="18"/>
                <w:szCs w:val="18"/>
              </w:rPr>
              <w:t xml:space="preserve">Checks the appointment list daily. Verifies eligibility the day before a patient walks in. Updates SmartCare automatically.</w:t>
            </w:r>
          </w:p>
        </w:tc>
      </w:tr>
    </w:tbl>
    <w:p>
      <w:pPr>
        <w:spacing w:after="160"/>
      </w:pP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Runs after hours so it doesn't tax the system during business hours</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Enters SmartCare, copies the RIN number, searches IHCP, and updates the record automatically</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When eligibility changes, the correct MCO is updated in SmartCare before the claim is ever filed</w:t>
      </w:r>
    </w:p>
    <w:p>
      <w:pPr>
        <w:spacing w:after="160"/>
      </w:pPr>
    </w:p>
    <w:p>
      <w:pPr>
        <w:spacing w:after="100"/>
      </w:pPr>
      <w:r>
        <w:rPr>
          <w:rFonts w:ascii="Calibri" w:cs="Calibri" w:eastAsia="Calibri" w:hAnsi="Calibri"/>
          <w:b/>
          <w:bCs/>
          <w:color w:val="7B61FF"/>
          <w:spacing w:val="80"/>
          <w:sz w:val="22"/>
          <w:szCs w:val="22"/>
        </w:rPr>
        <w:t xml:space="preserve">THE RESULTS</w:t>
      </w:r>
    </w:p>
    <w:p>
      <w:pPr>
        <w:spacing w:after="120"/>
      </w:pPr>
      <w:r>
        <w:rPr>
          <w:rFonts w:ascii="Calibri" w:cs="Calibri" w:eastAsia="Calibri" w:hAnsi="Calibri"/>
          <w:b/>
          <w:bCs/>
          <w:color w:val="1A1A2E"/>
          <w:sz w:val="20"/>
          <w:szCs w:val="20"/>
        </w:rPr>
        <w:t xml:space="preserve">8 months in, Valley Oaks has seen:</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shd w:fill="27275B" w:val="clear"/>
            <w:tcMar>
              <w:top w:type="dxa" w:w="120"/>
              <w:left w:type="dxa" w:w="200"/>
              <w:bottom w:type="dxa" w:w="120"/>
              <w:right w:type="dxa" w:w="200"/>
            </w:tcMar>
          </w:tcPr>
          <w:p>
            <w:r>
              <w:rPr>
                <w:rFonts w:ascii="Calibri" w:cs="Calibri" w:eastAsia="Calibri" w:hAnsi="Calibri"/>
                <w:b/>
                <w:bCs/>
                <w:color w:val="FFFFFF"/>
                <w:sz w:val="20"/>
                <w:szCs w:val="20"/>
              </w:rPr>
              <w:t xml:space="preserve">Denials dropped from 400 to 50</w:t>
            </w:r>
          </w:p>
        </w:tc>
        <w:tc>
          <w:tcPr>
            <w:tcW w:type="dxa" w:w="4680"/>
            <w:tcBorders>
              <w:top w:val="none" w:color="FFFFFF" w:sz="0"/>
              <w:left w:val="none" w:color="FFFFFF" w:sz="0"/>
              <w:bottom w:val="none" w:color="FFFFFF" w:sz="0"/>
              <w:right w:val="none" w:color="FFFFFF" w:sz="0"/>
            </w:tcBorders>
            <w:shd w:fill="27275B" w:val="clear"/>
            <w:tcMar>
              <w:top w:type="dxa" w:w="120"/>
              <w:left w:type="dxa" w:w="200"/>
              <w:bottom w:type="dxa" w:w="120"/>
              <w:right w:type="dxa" w:w="200"/>
            </w:tcMar>
          </w:tcPr>
          <w:p>
            <w:r>
              <w:rPr>
                <w:rFonts w:ascii="Calibri" w:cs="Calibri" w:eastAsia="Calibri" w:hAnsi="Calibri"/>
                <w:b/>
                <w:bCs/>
                <w:color w:val="FFFFFF"/>
                <w:sz w:val="20"/>
                <w:szCs w:val="20"/>
              </w:rPr>
              <w:t xml:space="preserve">15 min per check → less than 1 min</w:t>
            </w:r>
          </w:p>
        </w:tc>
      </w:tr>
      <w:tr>
        <w:tc>
          <w:tcPr>
            <w:tcW w:type="dxa" w:w="4680"/>
            <w:tcBorders>
              <w:top w:val="none" w:color="FFFFFF" w:sz="0"/>
              <w:left w:val="none" w:color="FFFFFF" w:sz="0"/>
              <w:bottom w:val="none" w:color="FFFFFF" w:sz="0"/>
              <w:right w:val="none" w:color="FFFFFF" w:sz="0"/>
            </w:tcBorders>
            <w:shd w:fill="7B61FF" w:val="clear"/>
            <w:tcMar>
              <w:top w:type="dxa" w:w="120"/>
              <w:left w:type="dxa" w:w="200"/>
              <w:bottom w:type="dxa" w:w="120"/>
              <w:right w:type="dxa" w:w="200"/>
            </w:tcMar>
          </w:tcPr>
          <w:p>
            <w:r>
              <w:rPr>
                <w:rFonts w:ascii="Calibri" w:cs="Calibri" w:eastAsia="Calibri" w:hAnsi="Calibri"/>
                <w:b/>
                <w:bCs/>
                <w:color w:val="FFFFFF"/>
                <w:sz w:val="20"/>
                <w:szCs w:val="20"/>
              </w:rPr>
              <w:t xml:space="preserve">Denial backlog cleared</w:t>
            </w:r>
          </w:p>
        </w:tc>
        <w:tc>
          <w:tcPr>
            <w:tcW w:type="dxa" w:w="4680"/>
            <w:tcBorders>
              <w:top w:val="none" w:color="FFFFFF" w:sz="0"/>
              <w:left w:val="none" w:color="FFFFFF" w:sz="0"/>
              <w:bottom w:val="none" w:color="FFFFFF" w:sz="0"/>
              <w:right w:val="none" w:color="FFFFFF" w:sz="0"/>
            </w:tcBorders>
            <w:shd w:fill="7B61FF" w:val="clear"/>
            <w:tcMar>
              <w:top w:type="dxa" w:w="120"/>
              <w:left w:type="dxa" w:w="200"/>
              <w:bottom w:type="dxa" w:w="120"/>
              <w:right w:type="dxa" w:w="200"/>
            </w:tcMar>
          </w:tcPr>
          <w:p>
            <w:r>
              <w:rPr>
                <w:rFonts w:ascii="Calibri" w:cs="Calibri" w:eastAsia="Calibri" w:hAnsi="Calibri"/>
                <w:b/>
                <w:bCs/>
                <w:color w:val="FFFFFF"/>
                <w:sz w:val="20"/>
                <w:szCs w:val="20"/>
              </w:rPr>
              <w:t xml:space="preserve">Staff fully embraced the automation</w:t>
            </w:r>
          </w:p>
        </w:tc>
      </w:tr>
    </w:tbl>
    <w:p>
      <w:pPr>
        <w:spacing w:after="120"/>
      </w:pPr>
    </w:p>
    <w:p>
      <w:pPr>
        <w:shd w:fill="F4F3FF" w:val="clear"/>
        <w:spacing w:after="40"/>
        <w:ind w:left="360" w:right="360"/>
      </w:pPr>
      <w:r>
        <w:rPr>
          <w:rFonts w:ascii="Calibri" w:cs="Calibri" w:eastAsia="Calibri" w:hAnsi="Calibri"/>
          <w:i/>
          <w:iCs/>
          <w:color w:val="1A1A2E"/>
          <w:sz w:val="20"/>
          <w:szCs w:val="20"/>
        </w:rPr>
        <w:t xml:space="preserve">"I didn't feel the pressure normally felt. The continuity was so nice. We didn't feel we were handed off. The fact-finding and thoughtful process, the testing phase was reduced to minimal time."</w:t>
      </w:r>
    </w:p>
    <w:p>
      <w:pPr>
        <w:shd w:fill="F4F3FF" w:val="clear"/>
        <w:spacing w:after="200"/>
        <w:ind w:left="360" w:right="360"/>
      </w:pPr>
      <w:r>
        <w:rPr>
          <w:rFonts w:ascii="Calibri" w:cs="Calibri" w:eastAsia="Calibri" w:hAnsi="Calibri"/>
          <w:b/>
          <w:bCs/>
          <w:color w:val="27275B"/>
          <w:sz w:val="18"/>
          <w:szCs w:val="18"/>
        </w:rPr>
        <w:t xml:space="preserve">— Jason Nesius, CFO, Valley Oaks Health</w:t>
      </w:r>
    </w:p>
    <w:p>
      <w:pPr>
        <w:spacing w:after="100"/>
      </w:pPr>
      <w:r>
        <w:rPr>
          <w:rFonts w:ascii="Calibri" w:cs="Calibri" w:eastAsia="Calibri" w:hAnsi="Calibri"/>
          <w:b/>
          <w:bCs/>
          <w:color w:val="7B61FF"/>
          <w:spacing w:val="80"/>
          <w:sz w:val="22"/>
          <w:szCs w:val="22"/>
        </w:rPr>
        <w:t xml:space="preserve">WHY NOW</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The One Big Beautiful Bill is adding work requirements and moving Medicaid redeterminations to every 6 months</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Retroactive eligibility is shrinking from 3 months to 1 month</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Indiana leads the nation in Medicaid enrollment decline (KFF, April 2026)</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25 million people have lost coverage since 2023. More churn means more wrong-payer denials.</w:t>
      </w:r>
    </w:p>
    <w:p>
      <w:pPr>
        <w:spacing w:after="60"/>
        <w:ind w:left="360"/>
      </w:pPr>
      <w:r>
        <w:rPr>
          <w:rFonts w:ascii="Calibri" w:cs="Calibri" w:eastAsia="Calibri" w:hAnsi="Calibri"/>
          <w:color w:val="7B61FF"/>
          <w:sz w:val="20"/>
          <w:szCs w:val="20"/>
        </w:rPr>
        <w:t xml:space="preserve">•  </w:t>
      </w:r>
      <w:r>
        <w:rPr>
          <w:rFonts w:ascii="Calibri" w:cs="Calibri" w:eastAsia="Calibri" w:hAnsi="Calibri"/>
          <w:color w:val="1A1A2E"/>
          <w:sz w:val="20"/>
          <w:szCs w:val="20"/>
        </w:rPr>
        <w:t xml:space="preserve">86% of denials are preventable. Half originate at the front end.</w:t>
      </w:r>
    </w:p>
    <w:p>
      <w:pPr>
        <w:spacing w:after="20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27275B" w:val="clear"/>
            <w:tcMar>
              <w:top w:type="dxa" w:w="200"/>
              <w:left w:type="dxa" w:w="300"/>
              <w:bottom w:type="dxa" w:w="200"/>
              <w:right w:type="dxa" w:w="300"/>
            </w:tcMar>
          </w:tcPr>
          <w:p>
            <w:pPr>
              <w:spacing w:after="60"/>
              <w:jc w:val="center"/>
            </w:pPr>
            <w:r>
              <w:rPr>
                <w:rFonts w:ascii="Calibri" w:cs="Calibri" w:eastAsia="Calibri" w:hAnsi="Calibri"/>
                <w:b/>
                <w:bCs/>
                <w:color w:val="FFFFFF"/>
                <w:sz w:val="24"/>
                <w:szCs w:val="24"/>
              </w:rPr>
              <w:t xml:space="preserve">Stop chasing denials. Start preventing them.</w:t>
            </w:r>
          </w:p>
          <w:p>
            <w:pPr>
              <w:spacing w:after="60"/>
              <w:jc w:val="center"/>
            </w:pPr>
            <w:r>
              <w:rPr>
                <w:rFonts w:ascii="Calibri" w:cs="Calibri" w:eastAsia="Calibri" w:hAnsi="Calibri"/>
                <w:color w:val="C7C4F0"/>
                <w:sz w:val="20"/>
                <w:szCs w:val="20"/>
              </w:rPr>
              <w:t xml:space="preserve">No pitch. Just a conversation about your workflow and where the gaps are.</w:t>
            </w:r>
          </w:p>
          <w:p>
            <w:pPr>
              <w:jc w:val="center"/>
            </w:pPr>
            <w:r>
              <w:rPr>
                <w:rFonts w:ascii="Calibri" w:cs="Calibri" w:eastAsia="Calibri" w:hAnsi="Calibri"/>
                <w:b/>
                <w:bCs/>
                <w:color w:val="FFFFFF"/>
                <w:sz w:val="20"/>
                <w:szCs w:val="20"/>
              </w:rPr>
              <w:t xml:space="preserve">coordiohealth.com  |  openbots.ai</w:t>
            </w:r>
          </w:p>
        </w:tc>
      </w:tr>
    </w:tbl>
    <w:sectPr>
      <w:pgSz w:w="12240" w:h="15840" w:orient="portrait"/>
      <w:pgMar w:top="720" w:right="1440" w:bottom="7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2026-09-01T17:21:01.821Z</dcterms:created>
  <dcterms:modified xsi:type="dcterms:W3CDTF">2026-09-01T17:21:01.834Z</dcterms:modified>
</cp:coreProperties>
</file>

<file path=docProps/custom.xml><?xml version="1.0" encoding="utf-8"?>
<Properties xmlns="http://schemas.openxmlformats.org/officeDocument/2006/custom-properties" xmlns:vt="http://schemas.openxmlformats.org/officeDocument/2006/docPropsVTypes"/>
</file>